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Umgebung, die 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ein erstaunliches biologisches Programm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sich seit Jahrtausenden bewähren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kindgerecht sein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Entwicklungsunterschied, der (Entwicklungsunterschiede)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sich angleichen (glich sich an, sich angeglichen haben)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die Entwicklung mit Verzögerung abbilden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eine Vorstellung von einer Person, einem Gegenstand oder einem Sachverhalt entwickeln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das Wort verstehen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schließlich den Begriff selbst benutzten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das Wort aussprechen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schon im ersten Lebensjahr zu sprechen anfangen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erst mit zweieinhalb das erste Wort von sich geben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um den 18. Lebensmonat herum stattfinden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beim Streicheln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mit Farbe oder Lippenstift einen Punkt auf die Stirn oder Wange malen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vor den Spiegel setzen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nicht den Spiegel anfassen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sich selbst ins Gesicht fassen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Das Kind hat das Ich entdeckt. 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sich selbst als eigenständige Persönlichkeit wahrnehmen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bei den motorischen Grundlagen 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auch für die geistige Entwicklung von Kleinkindern gelten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keine Behinderungen oder Krankheiten 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die Entwicklung beeinflussen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lastRenderedPageBreak/>
        <w:t>früher oder später auf den gleichen Reifestand kommen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alle mehr oder weniger auf dem gleichen motorischen und geistigen Niveau sein</w:t>
      </w: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</w:p>
    <w:p w:rsidR="00766266" w:rsidRDefault="00766266" w:rsidP="00766266">
      <w:pPr>
        <w:pStyle w:val="Textbody"/>
        <w:spacing w:line="360" w:lineRule="auto"/>
        <w:jc w:val="both"/>
        <w:rPr>
          <w:lang w:val="de-DE"/>
        </w:rPr>
      </w:pPr>
    </w:p>
    <w:p w:rsidR="00EC0874" w:rsidRPr="00766266" w:rsidRDefault="00EC0874">
      <w:pPr>
        <w:rPr>
          <w:lang w:val="de-DE"/>
        </w:rPr>
      </w:pPr>
    </w:p>
    <w:sectPr w:rsidR="00EC0874" w:rsidRPr="0076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66"/>
    <w:rsid w:val="00766266"/>
    <w:rsid w:val="00B91CE2"/>
    <w:rsid w:val="00E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7D51-B7D9-481B-A5E7-D899BA5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662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2019-11-03T13:01:00Z</dcterms:created>
  <dcterms:modified xsi:type="dcterms:W3CDTF">2019-11-03T13:01:00Z</dcterms:modified>
</cp:coreProperties>
</file>